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bookmarkStart w:id="0" w:name="_GoBack"/>
      <w:r>
        <w:rPr>
          <w:rFonts w:hint="eastAsia" w:ascii="宋体" w:hAnsi="宋体"/>
          <w:b/>
          <w:sz w:val="72"/>
          <w:szCs w:val="72"/>
        </w:rPr>
        <w:t>梨树县</w:t>
      </w:r>
      <w:r>
        <w:rPr>
          <w:rFonts w:hint="eastAsia" w:ascii="宋体" w:hAnsi="宋体"/>
          <w:b/>
          <w:sz w:val="72"/>
          <w:szCs w:val="72"/>
          <w:lang w:val="en-US" w:eastAsia="zh-CN"/>
        </w:rPr>
        <w:t>农业综合执法队</w:t>
      </w:r>
      <w:bookmarkEnd w:id="0"/>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9"/>
        <w:numPr>
          <w:ilvl w:val="0"/>
          <w:numId w:val="1"/>
        </w:numPr>
        <w:ind w:firstLineChars="0"/>
        <w:rPr>
          <w:sz w:val="32"/>
          <w:szCs w:val="32"/>
        </w:rPr>
      </w:pPr>
      <w:r>
        <w:rPr>
          <w:rFonts w:hint="eastAsia"/>
          <w:sz w:val="32"/>
          <w:szCs w:val="32"/>
        </w:rPr>
        <w:t>主要职能</w:t>
      </w:r>
    </w:p>
    <w:p>
      <w:pPr>
        <w:pStyle w:val="9"/>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9"/>
        <w:numPr>
          <w:ilvl w:val="0"/>
          <w:numId w:val="2"/>
        </w:numPr>
        <w:ind w:firstLineChars="0"/>
        <w:jc w:val="left"/>
        <w:rPr>
          <w:sz w:val="32"/>
          <w:szCs w:val="32"/>
        </w:rPr>
      </w:pPr>
      <w:r>
        <w:rPr>
          <w:rFonts w:hint="eastAsia"/>
          <w:sz w:val="32"/>
          <w:szCs w:val="32"/>
        </w:rPr>
        <w:t>收支预算表</w:t>
      </w:r>
    </w:p>
    <w:p>
      <w:pPr>
        <w:pStyle w:val="9"/>
        <w:numPr>
          <w:ilvl w:val="0"/>
          <w:numId w:val="2"/>
        </w:numPr>
        <w:ind w:firstLineChars="0"/>
        <w:jc w:val="left"/>
        <w:rPr>
          <w:sz w:val="32"/>
          <w:szCs w:val="32"/>
        </w:rPr>
      </w:pPr>
      <w:r>
        <w:rPr>
          <w:rFonts w:hint="eastAsia"/>
          <w:sz w:val="32"/>
          <w:szCs w:val="32"/>
        </w:rPr>
        <w:t>收入预算表</w:t>
      </w:r>
    </w:p>
    <w:p>
      <w:pPr>
        <w:pStyle w:val="9"/>
        <w:numPr>
          <w:ilvl w:val="0"/>
          <w:numId w:val="2"/>
        </w:numPr>
        <w:ind w:firstLineChars="0"/>
        <w:jc w:val="left"/>
        <w:rPr>
          <w:sz w:val="32"/>
          <w:szCs w:val="32"/>
        </w:rPr>
      </w:pPr>
      <w:r>
        <w:rPr>
          <w:rFonts w:hint="eastAsia"/>
          <w:sz w:val="32"/>
          <w:szCs w:val="32"/>
        </w:rPr>
        <w:t>支出预算表</w:t>
      </w:r>
    </w:p>
    <w:p>
      <w:pPr>
        <w:pStyle w:val="9"/>
        <w:numPr>
          <w:ilvl w:val="0"/>
          <w:numId w:val="2"/>
        </w:numPr>
        <w:ind w:firstLineChars="0"/>
        <w:jc w:val="left"/>
        <w:rPr>
          <w:sz w:val="32"/>
          <w:szCs w:val="32"/>
        </w:rPr>
      </w:pPr>
      <w:r>
        <w:rPr>
          <w:rFonts w:hint="eastAsia"/>
          <w:sz w:val="32"/>
          <w:szCs w:val="32"/>
        </w:rPr>
        <w:t>财政拨款收支预算表</w:t>
      </w:r>
    </w:p>
    <w:p>
      <w:pPr>
        <w:pStyle w:val="9"/>
        <w:numPr>
          <w:ilvl w:val="0"/>
          <w:numId w:val="2"/>
        </w:numPr>
        <w:ind w:firstLineChars="0"/>
        <w:jc w:val="left"/>
        <w:rPr>
          <w:sz w:val="32"/>
          <w:szCs w:val="32"/>
        </w:rPr>
      </w:pPr>
      <w:r>
        <w:rPr>
          <w:rFonts w:hint="eastAsia"/>
          <w:sz w:val="32"/>
          <w:szCs w:val="32"/>
        </w:rPr>
        <w:t>一般公共预算财政拨款功能分类支出预算表</w:t>
      </w:r>
    </w:p>
    <w:p>
      <w:pPr>
        <w:pStyle w:val="9"/>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9"/>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9"/>
        <w:numPr>
          <w:ilvl w:val="0"/>
          <w:numId w:val="2"/>
        </w:numPr>
        <w:ind w:firstLineChars="0"/>
        <w:jc w:val="left"/>
        <w:rPr>
          <w:sz w:val="32"/>
          <w:szCs w:val="32"/>
        </w:rPr>
      </w:pPr>
      <w:r>
        <w:rPr>
          <w:rFonts w:hint="eastAsia"/>
          <w:sz w:val="32"/>
          <w:szCs w:val="32"/>
        </w:rPr>
        <w:t>一般公共预算财政拨款“三公”经费支出预算表</w:t>
      </w:r>
    </w:p>
    <w:p>
      <w:pPr>
        <w:pStyle w:val="9"/>
        <w:numPr>
          <w:ilvl w:val="0"/>
          <w:numId w:val="2"/>
        </w:numPr>
        <w:ind w:firstLineChars="0"/>
        <w:jc w:val="left"/>
        <w:rPr>
          <w:sz w:val="32"/>
          <w:szCs w:val="32"/>
        </w:rPr>
      </w:pPr>
      <w:r>
        <w:rPr>
          <w:rFonts w:hint="eastAsia"/>
          <w:sz w:val="32"/>
          <w:szCs w:val="32"/>
        </w:rPr>
        <w:t>政府性基金预算财政拨款支出预算表</w:t>
      </w:r>
    </w:p>
    <w:p>
      <w:pPr>
        <w:pStyle w:val="9"/>
        <w:numPr>
          <w:ilvl w:val="0"/>
          <w:numId w:val="2"/>
        </w:numPr>
        <w:ind w:firstLineChars="0"/>
        <w:jc w:val="left"/>
        <w:rPr>
          <w:sz w:val="32"/>
          <w:szCs w:val="32"/>
        </w:rPr>
      </w:pPr>
      <w:r>
        <w:rPr>
          <w:rFonts w:hint="eastAsia"/>
          <w:sz w:val="32"/>
          <w:szCs w:val="32"/>
        </w:rPr>
        <w:t>项目支出绩效目标表</w:t>
      </w:r>
    </w:p>
    <w:p>
      <w:pPr>
        <w:pStyle w:val="9"/>
        <w:ind w:firstLine="0" w:firstLineChars="0"/>
        <w:rPr>
          <w:b/>
          <w:sz w:val="32"/>
          <w:szCs w:val="32"/>
        </w:rPr>
      </w:pPr>
      <w:r>
        <w:rPr>
          <w:rFonts w:hint="eastAsia"/>
          <w:b/>
          <w:sz w:val="32"/>
          <w:szCs w:val="32"/>
        </w:rPr>
        <w:t>第三部分   情况说明</w:t>
      </w:r>
    </w:p>
    <w:p>
      <w:pPr>
        <w:pStyle w:val="9"/>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pStyle w:val="6"/>
        <w:numPr>
          <w:ilvl w:val="0"/>
          <w:numId w:val="0"/>
        </w:numPr>
        <w:spacing w:line="540" w:lineRule="atLeast"/>
        <w:ind w:firstLine="640" w:firstLineChars="200"/>
        <w:rPr>
          <w:rFonts w:hint="eastAsia" w:ascii="楷体" w:hAnsi="楷体" w:eastAsia="楷体" w:cs="楷体"/>
        </w:rPr>
      </w:pPr>
      <w:r>
        <w:rPr>
          <w:rFonts w:hint="eastAsia" w:ascii="仿宋" w:hAnsi="仿宋" w:eastAsia="仿宋" w:cs="宋体"/>
          <w:sz w:val="32"/>
          <w:szCs w:val="32"/>
        </w:rPr>
        <w:t xml:space="preserve"> 梨树县农业综合行政</w:t>
      </w:r>
      <w:r>
        <w:rPr>
          <w:rFonts w:hint="eastAsia" w:ascii="仿宋" w:hAnsi="仿宋" w:eastAsia="仿宋" w:cs="宋体"/>
          <w:sz w:val="32"/>
          <w:szCs w:val="32"/>
          <w:lang w:val="en-US" w:eastAsia="zh-CN"/>
        </w:rPr>
        <w:t>执法</w:t>
      </w:r>
      <w:r>
        <w:rPr>
          <w:rFonts w:hint="eastAsia" w:ascii="仿宋" w:hAnsi="仿宋" w:eastAsia="仿宋" w:cs="宋体"/>
          <w:sz w:val="32"/>
          <w:szCs w:val="32"/>
        </w:rPr>
        <w:t>大队</w:t>
      </w:r>
      <w:r>
        <w:rPr>
          <w:rFonts w:hint="eastAsia" w:ascii="仿宋" w:hAnsi="仿宋" w:eastAsia="仿宋" w:cs="宋体"/>
          <w:color w:val="auto"/>
          <w:kern w:val="2"/>
          <w:sz w:val="32"/>
          <w:szCs w:val="32"/>
          <w:lang w:val="en-US" w:eastAsia="zh-CN" w:bidi="ar-SA"/>
        </w:rPr>
        <w:t>（新组建）</w:t>
      </w:r>
      <w:r>
        <w:rPr>
          <w:rFonts w:hint="eastAsia" w:ascii="仿宋" w:hAnsi="仿宋" w:eastAsia="仿宋" w:cs="宋体"/>
          <w:sz w:val="32"/>
          <w:szCs w:val="32"/>
        </w:rPr>
        <w:t>隶属于梨树县农业农村局</w:t>
      </w:r>
      <w:r>
        <w:rPr>
          <w:rFonts w:hint="eastAsia" w:ascii="仿宋" w:hAnsi="仿宋" w:eastAsia="仿宋" w:cs="宋体"/>
          <w:sz w:val="32"/>
          <w:szCs w:val="32"/>
          <w:lang w:eastAsia="zh-CN"/>
        </w:rPr>
        <w:t>。本</w:t>
      </w:r>
      <w:r>
        <w:rPr>
          <w:rFonts w:hint="eastAsia" w:ascii="仿宋" w:hAnsi="仿宋" w:eastAsia="仿宋" w:cs="宋体"/>
          <w:sz w:val="32"/>
          <w:szCs w:val="32"/>
        </w:rPr>
        <w:t>单位负责全县</w:t>
      </w:r>
      <w:r>
        <w:rPr>
          <w:rFonts w:hint="eastAsia" w:ascii="仿宋" w:hAnsi="仿宋" w:eastAsia="仿宋" w:cs="宋体"/>
          <w:color w:val="auto"/>
          <w:kern w:val="2"/>
          <w:sz w:val="32"/>
          <w:szCs w:val="32"/>
          <w:lang w:val="en-US" w:eastAsia="zh-CN" w:bidi="ar-SA"/>
        </w:rPr>
        <w:t>兽医兽药、生猪屠宰、种子、化肥、农药、农机、农产品质量、渔政渔港等领域的行政处罚以及与之相关的行政检查、行政强制等执法工作；组织查处辖区内案件、监督指导辖区内农业综合行政执法体系建设和执法工作，</w:t>
      </w:r>
      <w:r>
        <w:rPr>
          <w:rFonts w:hint="eastAsia" w:ascii="楷体" w:hAnsi="楷体" w:eastAsia="楷体" w:cs="楷体"/>
          <w:color w:val="2B2B2B"/>
          <w:sz w:val="32"/>
          <w:szCs w:val="32"/>
        </w:rPr>
        <w:t xml:space="preserve"> </w:t>
      </w:r>
    </w:p>
    <w:p>
      <w:pPr>
        <w:ind w:firstLine="640" w:firstLineChars="200"/>
        <w:rPr>
          <w:sz w:val="32"/>
          <w:szCs w:val="32"/>
        </w:rPr>
      </w:pPr>
      <w:r>
        <w:rPr>
          <w:rFonts w:eastAsia="楷体_GB2312"/>
          <w:sz w:val="32"/>
          <w:szCs w:val="32"/>
        </w:rPr>
        <w:t>二、机构设置</w:t>
      </w:r>
    </w:p>
    <w:p>
      <w:pPr>
        <w:keepNext w:val="0"/>
        <w:keepLines w:val="0"/>
        <w:pageBreakBefore w:val="0"/>
        <w:widowControl w:val="0"/>
        <w:kinsoku/>
        <w:wordWrap/>
        <w:overflowPunct/>
        <w:topLinePunct w:val="0"/>
        <w:autoSpaceDE/>
        <w:autoSpaceDN/>
        <w:bidi w:val="0"/>
        <w:adjustRightInd/>
        <w:spacing w:line="560" w:lineRule="exact"/>
        <w:ind w:firstLine="320" w:firstLineChars="100"/>
        <w:textAlignment w:val="auto"/>
        <w:rPr>
          <w:rFonts w:hint="eastAsia" w:ascii="仿宋_GB2312" w:hAnsi="仿宋_GB2312" w:eastAsia="楷体"/>
          <w:sz w:val="32"/>
          <w:lang w:val="en-US" w:eastAsia="zh-CN"/>
        </w:rPr>
      </w:pPr>
      <w:r>
        <w:rPr>
          <w:rFonts w:hint="eastAsia" w:ascii="仿宋_GB2312" w:eastAsia="仿宋_GB2312"/>
          <w:sz w:val="32"/>
          <w:szCs w:val="32"/>
        </w:rPr>
        <w:t>根据职责任务，核定</w:t>
      </w:r>
      <w:r>
        <w:rPr>
          <w:rFonts w:hint="eastAsia" w:ascii="楷体" w:hAnsi="楷体" w:eastAsia="楷体" w:cs="楷体"/>
          <w:color w:val="2B2B2B"/>
          <w:sz w:val="32"/>
          <w:szCs w:val="32"/>
          <w:lang w:eastAsia="zh-CN"/>
        </w:rPr>
        <w:t>本单位</w:t>
      </w:r>
      <w:r>
        <w:rPr>
          <w:rFonts w:hint="eastAsia" w:ascii="楷体" w:hAnsi="楷体" w:eastAsia="楷体" w:cs="楷体"/>
          <w:color w:val="2B2B2B"/>
          <w:sz w:val="32"/>
          <w:szCs w:val="32"/>
        </w:rPr>
        <w:t>是全额拨款独立核算事业单位，是二级预算单位。人员核定编制数1</w:t>
      </w:r>
      <w:r>
        <w:rPr>
          <w:rFonts w:hint="eastAsia" w:ascii="楷体" w:hAnsi="楷体" w:eastAsia="楷体" w:cs="楷体"/>
          <w:color w:val="2B2B2B"/>
          <w:sz w:val="32"/>
          <w:szCs w:val="32"/>
          <w:lang w:val="en-US" w:eastAsia="zh-CN"/>
        </w:rPr>
        <w:t>17</w:t>
      </w:r>
      <w:r>
        <w:rPr>
          <w:rFonts w:hint="eastAsia" w:ascii="楷体" w:hAnsi="楷体" w:eastAsia="楷体" w:cs="楷体"/>
          <w:color w:val="2B2B2B"/>
          <w:sz w:val="32"/>
          <w:szCs w:val="32"/>
        </w:rPr>
        <w:t>人，</w:t>
      </w:r>
      <w:r>
        <w:rPr>
          <w:rFonts w:hint="eastAsia" w:ascii="楷体" w:hAnsi="楷体" w:eastAsia="楷体" w:cs="楷体"/>
          <w:color w:val="2B2B2B"/>
          <w:sz w:val="32"/>
          <w:szCs w:val="32"/>
          <w:lang w:eastAsia="zh-CN"/>
        </w:rPr>
        <w:t>人数年末实有</w:t>
      </w:r>
      <w:r>
        <w:rPr>
          <w:rFonts w:hint="eastAsia" w:ascii="楷体" w:hAnsi="楷体" w:eastAsia="楷体" w:cs="楷体"/>
          <w:color w:val="2B2B2B"/>
          <w:sz w:val="32"/>
          <w:szCs w:val="32"/>
        </w:rPr>
        <w:t>在职</w:t>
      </w:r>
      <w:r>
        <w:rPr>
          <w:rFonts w:hint="eastAsia" w:ascii="楷体" w:hAnsi="楷体" w:eastAsia="楷体" w:cs="楷体"/>
          <w:color w:val="2B2B2B"/>
          <w:sz w:val="32"/>
          <w:szCs w:val="32"/>
          <w:lang w:val="en-US" w:eastAsia="zh-CN"/>
        </w:rPr>
        <w:t>103</w:t>
      </w:r>
      <w:r>
        <w:rPr>
          <w:rFonts w:hint="eastAsia" w:ascii="楷体" w:hAnsi="楷体" w:eastAsia="楷体" w:cs="楷体"/>
          <w:color w:val="2B2B2B"/>
          <w:sz w:val="32"/>
          <w:szCs w:val="32"/>
        </w:rPr>
        <w:t>人</w:t>
      </w:r>
      <w:r>
        <w:rPr>
          <w:rFonts w:hint="eastAsia" w:ascii="楷体" w:hAnsi="楷体" w:eastAsia="楷体" w:cs="楷体"/>
          <w:color w:val="2B2B2B"/>
          <w:sz w:val="32"/>
          <w:szCs w:val="32"/>
          <w:lang w:eastAsia="zh-CN"/>
        </w:rPr>
        <w:t>。</w:t>
      </w:r>
    </w:p>
    <w:p>
      <w:pPr>
        <w:pStyle w:val="15"/>
        <w:ind w:firstLine="420" w:firstLineChars="200"/>
        <w:rPr>
          <w:rFonts w:eastAsia="仿宋_GB231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支出、</w:t>
      </w:r>
      <w:r>
        <w:rPr>
          <w:rFonts w:hint="eastAsia" w:ascii="宋体"/>
          <w:sz w:val="32"/>
          <w:szCs w:val="32"/>
        </w:rPr>
        <w:t>住房保障支出。</w:t>
      </w:r>
      <w:r>
        <w:rPr>
          <w:rFonts w:hint="eastAsia" w:ascii="宋体"/>
          <w:sz w:val="32"/>
          <w:szCs w:val="32"/>
          <w:lang w:val="en-US" w:eastAsia="zh-CN"/>
        </w:rPr>
        <w:t>2</w:t>
      </w:r>
      <w:r>
        <w:rPr>
          <w:rFonts w:hint="eastAsia" w:ascii="宋体"/>
          <w:sz w:val="32"/>
          <w:szCs w:val="32"/>
        </w:rPr>
        <w:t>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363.74</w:t>
      </w:r>
      <w:r>
        <w:rPr>
          <w:rFonts w:hint="eastAsia" w:ascii="宋体"/>
          <w:sz w:val="32"/>
          <w:szCs w:val="32"/>
        </w:rPr>
        <w:t xml:space="preserve"> 万元</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363.74</w:t>
      </w:r>
      <w:r>
        <w:rPr>
          <w:rFonts w:hint="eastAsia" w:ascii="宋体"/>
          <w:sz w:val="32"/>
          <w:szCs w:val="32"/>
        </w:rPr>
        <w:t xml:space="preserve"> 万元，本年收入中，一般公共预算拨款收入</w:t>
      </w:r>
      <w:r>
        <w:rPr>
          <w:rFonts w:hint="eastAsia" w:ascii="宋体"/>
          <w:sz w:val="32"/>
          <w:szCs w:val="32"/>
          <w:lang w:val="en-US" w:eastAsia="zh-CN"/>
        </w:rPr>
        <w:t>99.98</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w:t>
      </w:r>
      <w:r>
        <w:rPr>
          <w:rFonts w:hint="eastAsia" w:ascii="宋体"/>
          <w:sz w:val="32"/>
          <w:szCs w:val="32"/>
          <w:lang w:val="en-US" w:eastAsia="zh-CN"/>
        </w:rPr>
        <w:t>非税收入6万元。</w:t>
      </w:r>
      <w:r>
        <w:rPr>
          <w:rFonts w:hint="eastAsia" w:ascii="宋体"/>
          <w:sz w:val="32"/>
          <w:szCs w:val="32"/>
        </w:rPr>
        <w:t xml:space="preserve">占  </w:t>
      </w:r>
      <w:r>
        <w:rPr>
          <w:rFonts w:hint="eastAsia" w:ascii="宋体"/>
          <w:sz w:val="32"/>
          <w:szCs w:val="32"/>
          <w:lang w:val="en-US" w:eastAsia="zh-CN"/>
        </w:rPr>
        <w:t>0.2</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363.74</w:t>
      </w:r>
      <w:r>
        <w:rPr>
          <w:rFonts w:hint="eastAsia" w:ascii="宋体"/>
          <w:sz w:val="32"/>
          <w:szCs w:val="32"/>
        </w:rPr>
        <w:t>万元，其中：基本支出</w:t>
      </w:r>
      <w:r>
        <w:rPr>
          <w:rFonts w:hint="eastAsia" w:ascii="宋体"/>
          <w:sz w:val="32"/>
          <w:szCs w:val="32"/>
          <w:lang w:val="en-US" w:eastAsia="zh-CN"/>
        </w:rPr>
        <w:t>363.74</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323.74</w:t>
      </w:r>
      <w:r>
        <w:rPr>
          <w:rFonts w:hint="eastAsia" w:ascii="宋体"/>
          <w:sz w:val="32"/>
          <w:szCs w:val="32"/>
        </w:rPr>
        <w:t xml:space="preserve"> 万元，占 </w:t>
      </w:r>
      <w:r>
        <w:rPr>
          <w:rFonts w:hint="eastAsia" w:ascii="宋体"/>
          <w:sz w:val="32"/>
          <w:szCs w:val="32"/>
          <w:lang w:val="en-US" w:eastAsia="zh-CN"/>
        </w:rPr>
        <w:t>90</w:t>
      </w:r>
      <w:r>
        <w:rPr>
          <w:rFonts w:hint="eastAsia" w:ascii="宋体"/>
          <w:sz w:val="32"/>
          <w:szCs w:val="32"/>
        </w:rPr>
        <w:t xml:space="preserve"> %；</w:t>
      </w:r>
      <w:r>
        <w:rPr>
          <w:rFonts w:hint="eastAsia" w:ascii="宋体"/>
          <w:sz w:val="32"/>
          <w:szCs w:val="32"/>
          <w:lang w:val="en-US" w:eastAsia="zh-CN"/>
        </w:rPr>
        <w:t>办公36万元。</w:t>
      </w:r>
      <w:r>
        <w:rPr>
          <w:rFonts w:hint="eastAsia" w:ascii="宋体"/>
          <w:sz w:val="32"/>
          <w:szCs w:val="32"/>
        </w:rPr>
        <w:t xml:space="preserve">占 </w:t>
      </w:r>
      <w:r>
        <w:rPr>
          <w:rFonts w:hint="eastAsia" w:ascii="宋体"/>
          <w:sz w:val="32"/>
          <w:szCs w:val="32"/>
          <w:lang w:val="en-US" w:eastAsia="zh-CN"/>
        </w:rPr>
        <w:t>10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363.74</w:t>
      </w:r>
      <w:r>
        <w:rPr>
          <w:rFonts w:hint="eastAsia" w:ascii="宋体"/>
          <w:sz w:val="32"/>
          <w:szCs w:val="32"/>
        </w:rPr>
        <w:t xml:space="preserve"> 万元，其中：一般公共预算拨款</w:t>
      </w:r>
      <w:r>
        <w:rPr>
          <w:rFonts w:hint="eastAsia" w:ascii="宋体"/>
          <w:sz w:val="32"/>
          <w:szCs w:val="32"/>
          <w:lang w:val="en-US" w:eastAsia="zh-CN"/>
        </w:rPr>
        <w:t>357.74</w:t>
      </w:r>
      <w:r>
        <w:rPr>
          <w:rFonts w:hint="eastAsia" w:ascii="宋体"/>
          <w:sz w:val="32"/>
          <w:szCs w:val="32"/>
        </w:rPr>
        <w:t>万元。</w:t>
      </w:r>
      <w:r>
        <w:rPr>
          <w:rFonts w:hint="eastAsia" w:ascii="宋体"/>
          <w:sz w:val="32"/>
          <w:szCs w:val="32"/>
          <w:lang w:val="en-US" w:eastAsia="zh-CN"/>
        </w:rPr>
        <w:t>养老保险</w:t>
      </w:r>
      <w:r>
        <w:rPr>
          <w:rFonts w:hint="eastAsia" w:ascii="宋体"/>
          <w:sz w:val="32"/>
          <w:szCs w:val="32"/>
        </w:rPr>
        <w:t xml:space="preserve">  </w:t>
      </w:r>
      <w:r>
        <w:rPr>
          <w:rFonts w:hint="eastAsia" w:ascii="宋体"/>
          <w:sz w:val="32"/>
          <w:szCs w:val="32"/>
          <w:lang w:val="en-US" w:eastAsia="zh-CN"/>
        </w:rPr>
        <w:t>34.92</w:t>
      </w:r>
      <w:r>
        <w:rPr>
          <w:rFonts w:hint="eastAsia" w:ascii="宋体"/>
          <w:sz w:val="32"/>
          <w:szCs w:val="32"/>
        </w:rPr>
        <w:t xml:space="preserve"> 万</w:t>
      </w:r>
      <w:r>
        <w:rPr>
          <w:rFonts w:hint="eastAsia" w:ascii="宋体"/>
          <w:sz w:val="32"/>
          <w:szCs w:val="32"/>
          <w:lang w:val="en-US" w:eastAsia="zh-CN"/>
        </w:rPr>
        <w:t>元，职业年金17.46万元，其他社会保障和就业支出2.6万元，医疗,13.87万元，公积金,26.39万元，农林水,268.5万元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363.74</w:t>
      </w:r>
      <w:r>
        <w:rPr>
          <w:rFonts w:hint="eastAsia" w:ascii="宋体"/>
          <w:sz w:val="32"/>
          <w:szCs w:val="32"/>
        </w:rPr>
        <w:t xml:space="preserve">万元，其中：基本支出 </w:t>
      </w:r>
      <w:r>
        <w:rPr>
          <w:rFonts w:hint="eastAsia" w:ascii="宋体"/>
          <w:sz w:val="32"/>
          <w:szCs w:val="32"/>
          <w:lang w:val="en-US" w:eastAsia="zh-CN"/>
        </w:rPr>
        <w:t>363.74</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327.74</w:t>
      </w:r>
      <w:r>
        <w:rPr>
          <w:rFonts w:hint="eastAsia" w:ascii="宋体"/>
          <w:sz w:val="32"/>
          <w:szCs w:val="32"/>
        </w:rPr>
        <w:t xml:space="preserve">   万元，占 </w:t>
      </w:r>
      <w:r>
        <w:rPr>
          <w:rFonts w:hint="eastAsia" w:ascii="宋体"/>
          <w:sz w:val="32"/>
          <w:szCs w:val="32"/>
          <w:lang w:val="en-US" w:eastAsia="zh-CN"/>
        </w:rPr>
        <w:t>90</w:t>
      </w:r>
      <w:r>
        <w:rPr>
          <w:rFonts w:hint="eastAsia" w:ascii="宋体"/>
          <w:sz w:val="32"/>
          <w:szCs w:val="32"/>
        </w:rPr>
        <w:t xml:space="preserve"> %；</w:t>
      </w:r>
      <w:r>
        <w:rPr>
          <w:rFonts w:hint="eastAsia" w:ascii="宋体"/>
          <w:sz w:val="32"/>
          <w:szCs w:val="32"/>
          <w:lang w:val="en-US" w:eastAsia="zh-CN"/>
        </w:rPr>
        <w:t>办公36万元。</w:t>
      </w:r>
      <w:r>
        <w:rPr>
          <w:rFonts w:hint="eastAsia" w:ascii="宋体"/>
          <w:sz w:val="32"/>
          <w:szCs w:val="32"/>
        </w:rPr>
        <w:t xml:space="preserve">占 </w:t>
      </w:r>
      <w:r>
        <w:rPr>
          <w:rFonts w:hint="eastAsia" w:ascii="宋体"/>
          <w:sz w:val="32"/>
          <w:szCs w:val="32"/>
          <w:lang w:val="en-US" w:eastAsia="zh-CN"/>
        </w:rPr>
        <w:t>10</w:t>
      </w:r>
      <w:r>
        <w:rPr>
          <w:rFonts w:hint="eastAsia" w:ascii="宋体"/>
          <w:sz w:val="32"/>
          <w:szCs w:val="32"/>
        </w:rPr>
        <w:t>%</w:t>
      </w:r>
    </w:p>
    <w:p>
      <w:pPr>
        <w:tabs>
          <w:tab w:val="left" w:pos="1200"/>
          <w:tab w:val="right" w:pos="8306"/>
        </w:tabs>
        <w:ind w:firstLine="630"/>
        <w:jc w:val="left"/>
        <w:rPr>
          <w:rFonts w:hint="eastAsia" w:ascii="宋体"/>
          <w:sz w:val="32"/>
          <w:szCs w:val="32"/>
        </w:rPr>
      </w:pP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363.74</w:t>
      </w:r>
      <w:r>
        <w:rPr>
          <w:rFonts w:hint="eastAsia" w:ascii="宋体"/>
          <w:sz w:val="32"/>
          <w:szCs w:val="32"/>
        </w:rPr>
        <w:t xml:space="preserve">万元，其中：人员经费   </w:t>
      </w:r>
      <w:r>
        <w:rPr>
          <w:rFonts w:hint="eastAsia" w:ascii="宋体"/>
          <w:sz w:val="32"/>
          <w:szCs w:val="32"/>
          <w:lang w:val="en-US" w:eastAsia="zh-CN"/>
        </w:rPr>
        <w:t>327.74</w:t>
      </w:r>
      <w:r>
        <w:rPr>
          <w:rFonts w:hint="eastAsia" w:ascii="宋体"/>
          <w:sz w:val="32"/>
          <w:szCs w:val="32"/>
        </w:rPr>
        <w:t xml:space="preserve">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r>
        <w:rPr>
          <w:rFonts w:hint="eastAsia" w:ascii="宋体"/>
          <w:sz w:val="32"/>
          <w:szCs w:val="32"/>
          <w:lang w:val="en-US" w:eastAsia="zh-CN"/>
        </w:rPr>
        <w:t>公用经费36万元用于</w:t>
      </w:r>
      <w:r>
        <w:rPr>
          <w:rFonts w:hint="eastAsia" w:ascii="宋体"/>
          <w:sz w:val="32"/>
          <w:szCs w:val="32"/>
        </w:rPr>
        <w:t>：办公费、印刷费、水费、电费、邮电费、物业管理费、差旅费、维修（护）费、租赁费、会议费、培训费、公务接待费、劳务费、工会经费、福利费、公务用车运行维护费、其他交通费用、其他商品和服务支出。</w:t>
      </w:r>
    </w:p>
    <w:p>
      <w:pPr>
        <w:ind w:firstLine="640" w:firstLineChars="200"/>
        <w:rPr>
          <w:rFonts w:hint="eastAsia" w:ascii="宋体" w:eastAsia="宋体"/>
          <w:sz w:val="32"/>
          <w:szCs w:val="32"/>
          <w:lang w:eastAsia="zh-CN"/>
        </w:rPr>
      </w:pPr>
      <w:r>
        <w:rPr>
          <w:rFonts w:hint="eastAsia" w:ascii="宋体"/>
          <w:sz w:val="32"/>
          <w:szCs w:val="32"/>
          <w:lang w:eastAsia="zh-CN"/>
        </w:rPr>
        <w:t>国有资产占有使用情况</w:t>
      </w:r>
    </w:p>
    <w:p>
      <w:pPr>
        <w:tabs>
          <w:tab w:val="left" w:pos="710"/>
        </w:tabs>
        <w:rPr>
          <w:rFonts w:hint="default" w:ascii="宋体"/>
          <w:sz w:val="32"/>
          <w:szCs w:val="32"/>
          <w:lang w:val="en-US"/>
        </w:rPr>
      </w:pPr>
      <w:r>
        <w:rPr>
          <w:rFonts w:hint="eastAsia" w:ascii="宋体"/>
          <w:sz w:val="32"/>
          <w:szCs w:val="32"/>
          <w:lang w:eastAsia="zh-CN"/>
        </w:rPr>
        <w:t>截止至</w:t>
      </w:r>
      <w:r>
        <w:rPr>
          <w:rFonts w:hint="eastAsia" w:ascii="宋体"/>
          <w:sz w:val="32"/>
          <w:szCs w:val="32"/>
          <w:lang w:val="en-US" w:eastAsia="zh-CN"/>
        </w:rPr>
        <w:t>2020年12月31日，本单位共有车辆  11 辆，用于执法车辆。</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U1MWMzZWQ4ZDNiMTZjNGE2MmQxZTYzY2E5YzkyYWUifQ=="/>
  </w:docVars>
  <w:rsids>
    <w:rsidRoot w:val="00000000"/>
    <w:rsid w:val="29697681"/>
    <w:rsid w:val="33C450E1"/>
    <w:rsid w:val="49771836"/>
    <w:rsid w:val="52C97B9F"/>
    <w:rsid w:val="58AD60A8"/>
    <w:rsid w:val="77A22B59"/>
    <w:rsid w:val="7C5B0965"/>
    <w:rsid w:val="7EA75A6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4"/>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3"/>
    <w:semiHidden/>
    <w:uiPriority w:val="99"/>
    <w:pPr>
      <w:ind w:left="100" w:leftChars="2500"/>
    </w:pPr>
  </w:style>
  <w:style w:type="paragraph" w:styleId="4">
    <w:name w:val="footer"/>
    <w:basedOn w:val="1"/>
    <w:link w:val="12"/>
    <w:semiHidden/>
    <w:qFormat/>
    <w:uiPriority w:val="99"/>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paragraph" w:customStyle="1" w:styleId="9">
    <w:name w:val="List Paragraph"/>
    <w:basedOn w:val="1"/>
    <w:qFormat/>
    <w:uiPriority w:val="99"/>
    <w:pPr>
      <w:ind w:firstLine="420" w:firstLineChars="200"/>
    </w:pPr>
  </w:style>
  <w:style w:type="paragraph" w:customStyle="1" w:styleId="10">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Char"/>
    <w:basedOn w:val="8"/>
    <w:link w:val="5"/>
    <w:qFormat/>
    <w:uiPriority w:val="99"/>
    <w:rPr>
      <w:rFonts w:cs="Times New Roman"/>
      <w:sz w:val="18"/>
      <w:szCs w:val="18"/>
    </w:rPr>
  </w:style>
  <w:style w:type="character" w:customStyle="1" w:styleId="12">
    <w:name w:val="页脚 Char Char"/>
    <w:basedOn w:val="8"/>
    <w:link w:val="4"/>
    <w:qFormat/>
    <w:uiPriority w:val="99"/>
    <w:rPr>
      <w:rFonts w:cs="Times New Roman"/>
      <w:sz w:val="18"/>
      <w:szCs w:val="18"/>
    </w:rPr>
  </w:style>
  <w:style w:type="character" w:customStyle="1" w:styleId="13">
    <w:name w:val="日期 Char Char"/>
    <w:basedOn w:val="8"/>
    <w:link w:val="3"/>
    <w:qFormat/>
    <w:uiPriority w:val="99"/>
    <w:rPr>
      <w:rFonts w:cs="Times New Roman"/>
    </w:rPr>
  </w:style>
  <w:style w:type="character" w:customStyle="1" w:styleId="14">
    <w:name w:val="标题 5 Char Char"/>
    <w:basedOn w:val="8"/>
    <w:link w:val="2"/>
    <w:qFormat/>
    <w:uiPriority w:val="9"/>
    <w:rPr>
      <w:rFonts w:ascii="宋体" w:hAnsi="宋体" w:cs="宋体"/>
      <w:b/>
      <w:bCs/>
    </w:rPr>
  </w:style>
  <w:style w:type="paragraph" w:customStyle="1" w:styleId="15">
    <w:name w:val="p0"/>
    <w:basedOn w:val="1"/>
    <w:qFormat/>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2351</Words>
  <Characters>2508</Characters>
  <Lines>25</Lines>
  <Paragraphs>7</Paragraphs>
  <TotalTime>0</TotalTime>
  <ScaleCrop>false</ScaleCrop>
  <LinksUpToDate>false</LinksUpToDate>
  <CharactersWithSpaces>2898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2022-09-13T04:46:46Z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56BCD4899E6E4A839C3DAF9054B7E7EE</vt:lpwstr>
  </property>
</Properties>
</file>